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240"/>
      </w:pPr>
      <w:r>
        <w:rPr>
          <w:rFonts w:ascii="SimSun" w:cs="SimSun" w:eastAsia="SimSun" w:hAnsi="SimSun"/>
        </w:rPr>
        <w:t xml:space="preserve">某某集团有限公司印章管理办法</w:t>
      </w:r>
    </w:p>
    <w:p>
      <w:pPr>
        <w:pStyle w:val="Heading2"/>
        <w:spacing w:after="120" w:before="240"/>
      </w:pPr>
      <w:r>
        <w:rPr>
          <w:rFonts w:ascii="SimSun" w:cs="SimSun" w:eastAsia="SimSun" w:hAnsi="SimSun"/>
        </w:rPr>
        <w:t xml:space="preserve">第一章 总则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第一条 为规范某某集团有限公司(以下简称集团)印章的刻制、启用、使用、保管及废止管理,防范经营与法律风险,依据国家有关法律法规,结合集团实际,制定本办法。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第二条 本办法适用于集团总部各部门及所属各单位。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第三条 本办法所称印章,包括公司公章、合同专用章、财务专用章、发票专用章及部门业务用章。</w:t>
      </w:r>
    </w:p>
    <w:p>
      <w:pPr>
        <w:pStyle w:val="Heading2"/>
        <w:spacing w:after="120" w:before="240"/>
      </w:pPr>
      <w:r>
        <w:rPr>
          <w:rFonts w:ascii="SimSun" w:cs="SimSun" w:eastAsia="SimSun" w:hAnsi="SimSun"/>
        </w:rPr>
        <w:t xml:space="preserve">第二章 职责分工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第四条 综合管理部负责牵头集团印章的归口管理工作,组织印章的刻制、启用与废止。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第五条 财务部负责财务专用章、发票专用章的日常保管与用印审核。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第六条 有关部门应当配合做好印章使用登记与档案移交工作。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第七条 各所属单位参照本办法管理本单位印章,并接受集团的指导。</w:t>
      </w:r>
    </w:p>
    <w:p>
      <w:pPr>
        <w:pStyle w:val="Heading2"/>
        <w:spacing w:after="120" w:before="240"/>
      </w:pPr>
      <w:r>
        <w:rPr>
          <w:rFonts w:ascii="SimSun" w:cs="SimSun" w:eastAsia="SimSun" w:hAnsi="SimSun"/>
        </w:rPr>
        <w:t xml:space="preserve">第三章 印章的刻制与启用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第八条 印章的刻制应当经集团分管领导批准后,由综合管理部统一到公安机关备案的刻章单位办理。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第九条 新印章启用前,应当及时下发启用通知,注明启用日期、使用范围及印模式样。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第十条 印章废止后,应当尽快办理封存或销毁手续,并留存记录。</w:t>
      </w:r>
    </w:p>
    <w:p>
      <w:pPr>
        <w:pStyle w:val="Heading2"/>
        <w:spacing w:after="120" w:before="240"/>
      </w:pPr>
      <w:r>
        <w:rPr>
          <w:rFonts w:ascii="SimSun" w:cs="SimSun" w:eastAsia="SimSun" w:hAnsi="SimSun"/>
        </w:rPr>
        <w:t xml:space="preserve">第四章 印章的使用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第十一条 用印必须履行审批手续,经用印审批人批准后方可用印,严禁先用印后补批。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第十二条 用印人应当如实填写用印登记簿,注明用印事由、文件名称、份数及批准人。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第十三条 印章原则上不得携带外出。确需外带的,应当经批准并由两人以上共同携带,用毕即行归还。</w:t>
      </w:r>
    </w:p>
    <w:p>
      <w:pPr>
        <w:pStyle w:val="Heading2"/>
        <w:spacing w:after="120" w:before="240"/>
      </w:pPr>
      <w:r>
        <w:rPr>
          <w:rFonts w:ascii="SimSun" w:cs="SimSun" w:eastAsia="SimSun" w:hAnsi="SimSun"/>
        </w:rPr>
        <w:t xml:space="preserve">第五章 印章的保管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第十四条 印章实行专人保管,保管人变动时应当办理交接手续。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第十五条 印章保管人应当妥善保管印章,发现印章遗失或被盗的,应当立即报告并登报声明作废。</w:t>
      </w:r>
    </w:p>
    <w:p>
      <w:pPr>
        <w:pStyle w:val="Heading2"/>
        <w:spacing w:after="120" w:before="240"/>
      </w:pPr>
      <w:r>
        <w:rPr>
          <w:rFonts w:ascii="SimSun" w:cs="SimSun" w:eastAsia="SimSun" w:hAnsi="SimSun"/>
        </w:rPr>
        <w:t xml:space="preserve">第六章 附则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第十六条 本办法由综合管理部负责解释。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第十七条 本办法自发布之日起施行。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某某集团有限公司印章管理办法</dc:title>
  <dc:creator>示例文档</dc:creator>
  <cp:lastModifiedBy>Un-named</cp:lastModifiedBy>
  <cp:revision>1</cp:revision>
  <dcterms:created xsi:type="dcterms:W3CDTF">2026-08-24T11:21:19.496Z</dcterms:created>
  <dcterms:modified xsi:type="dcterms:W3CDTF">2026-08-24T11:21:19.496Z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